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21,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REGISTRATION STATEMENT UNDER THE SECURITIES ACT OF 1933</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Pediatrix Medical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4400" w:type="dxa"/>
            <w:vAlign w:val="bottom"/>
          </w:tcPr>
          <w:p>
            <w:pPr>
              <w:jc w:val="center"/>
              <w:ind w:right="2269"/>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3260" w:type="dxa"/>
            <w:vAlign w:val="bottom"/>
          </w:tcPr>
          <w:p>
            <w:pPr>
              <w:jc w:val="center"/>
              <w:ind w:left="2211"/>
              <w:spacing w:after="0"/>
              <w:rPr>
                <w:sz w:val="20"/>
                <w:szCs w:val="20"/>
                <w:color w:val="auto"/>
              </w:rPr>
            </w:pPr>
            <w:r>
              <w:rPr>
                <w:rFonts w:ascii="Times New Roman" w:cs="Times New Roman" w:eastAsia="Times New Roman" w:hAnsi="Times New Roman"/>
                <w:sz w:val="16"/>
                <w:szCs w:val="16"/>
                <w:b w:val="1"/>
                <w:bCs w:val="1"/>
                <w:color w:val="auto"/>
              </w:rPr>
              <w:t>26-3667538</w:t>
            </w:r>
          </w:p>
        </w:tc>
      </w:tr>
      <w:tr>
        <w:trPr>
          <w:trHeight w:val="172"/>
        </w:trPr>
        <w:tc>
          <w:tcPr>
            <w:tcW w:w="4400" w:type="dxa"/>
            <w:vAlign w:val="bottom"/>
          </w:tcPr>
          <w:p>
            <w:pPr>
              <w:jc w:val="center"/>
              <w:ind w:right="2209"/>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260" w:type="dxa"/>
            <w:vAlign w:val="bottom"/>
          </w:tcPr>
          <w:p>
            <w:pPr>
              <w:jc w:val="center"/>
              <w:ind w:left="2211"/>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4400" w:type="dxa"/>
            <w:vAlign w:val="bottom"/>
          </w:tcPr>
          <w:p>
            <w:pPr>
              <w:jc w:val="center"/>
              <w:ind w:right="2229"/>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260" w:type="dxa"/>
            <w:vAlign w:val="bottom"/>
          </w:tcPr>
          <w:p>
            <w:pPr>
              <w:jc w:val="center"/>
              <w:ind w:left="2211"/>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84"/>
        </w:trPr>
        <w:tc>
          <w:tcPr>
            <w:tcW w:w="4400" w:type="dxa"/>
            <w:vAlign w:val="bottom"/>
          </w:tcPr>
          <w:p>
            <w:pPr>
              <w:jc w:val="center"/>
              <w:ind w:right="2229"/>
              <w:spacing w:after="0"/>
              <w:rPr>
                <w:sz w:val="20"/>
                <w:szCs w:val="20"/>
                <w:color w:val="auto"/>
              </w:rPr>
            </w:pPr>
            <w:r>
              <w:rPr>
                <w:rFonts w:ascii="Times New Roman" w:cs="Times New Roman" w:eastAsia="Times New Roman" w:hAnsi="Times New Roman"/>
                <w:sz w:val="16"/>
                <w:szCs w:val="16"/>
                <w:b w:val="1"/>
                <w:bCs w:val="1"/>
                <w:color w:val="auto"/>
              </w:rPr>
              <w:t>1301 Concord Terrace</w:t>
            </w:r>
          </w:p>
        </w:tc>
        <w:tc>
          <w:tcPr>
            <w:tcW w:w="3260" w:type="dxa"/>
            <w:vAlign w:val="bottom"/>
          </w:tcPr>
          <w:p>
            <w:pPr>
              <w:spacing w:after="0"/>
              <w:rPr>
                <w:sz w:val="24"/>
                <w:szCs w:val="24"/>
                <w:color w:val="auto"/>
              </w:rPr>
            </w:pPr>
          </w:p>
        </w:tc>
      </w:tr>
      <w:tr>
        <w:trPr>
          <w:trHeight w:val="254"/>
        </w:trPr>
        <w:tc>
          <w:tcPr>
            <w:tcW w:w="4400" w:type="dxa"/>
            <w:vAlign w:val="bottom"/>
          </w:tcPr>
          <w:p>
            <w:pPr>
              <w:jc w:val="center"/>
              <w:ind w:right="2289"/>
              <w:spacing w:after="0"/>
              <w:rPr>
                <w:sz w:val="20"/>
                <w:szCs w:val="20"/>
                <w:color w:val="auto"/>
              </w:rPr>
            </w:pPr>
            <w:r>
              <w:rPr>
                <w:rFonts w:ascii="Times New Roman" w:cs="Times New Roman" w:eastAsia="Times New Roman" w:hAnsi="Times New Roman"/>
                <w:sz w:val="16"/>
                <w:szCs w:val="16"/>
                <w:b w:val="1"/>
                <w:bCs w:val="1"/>
                <w:color w:val="auto"/>
              </w:rPr>
              <w:t>Sunrise, Florida</w:t>
            </w:r>
          </w:p>
        </w:tc>
        <w:tc>
          <w:tcPr>
            <w:tcW w:w="3260" w:type="dxa"/>
            <w:vAlign w:val="bottom"/>
          </w:tcPr>
          <w:p>
            <w:pPr>
              <w:jc w:val="center"/>
              <w:ind w:left="2191"/>
              <w:spacing w:after="0"/>
              <w:rPr>
                <w:sz w:val="20"/>
                <w:szCs w:val="20"/>
                <w:color w:val="auto"/>
              </w:rPr>
            </w:pPr>
            <w:r>
              <w:rPr>
                <w:rFonts w:ascii="Times New Roman" w:cs="Times New Roman" w:eastAsia="Times New Roman" w:hAnsi="Times New Roman"/>
                <w:sz w:val="16"/>
                <w:szCs w:val="16"/>
                <w:b w:val="1"/>
                <w:bCs w:val="1"/>
                <w:color w:val="auto"/>
                <w:w w:val="99"/>
              </w:rPr>
              <w:t>33323</w:t>
            </w:r>
          </w:p>
        </w:tc>
      </w:tr>
      <w:tr>
        <w:trPr>
          <w:trHeight w:val="204"/>
        </w:trPr>
        <w:tc>
          <w:tcPr>
            <w:tcW w:w="4400" w:type="dxa"/>
            <w:vAlign w:val="bottom"/>
          </w:tcPr>
          <w:p>
            <w:pPr>
              <w:jc w:val="center"/>
              <w:ind w:right="220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260" w:type="dxa"/>
            <w:vAlign w:val="bottom"/>
          </w:tcPr>
          <w:p>
            <w:pPr>
              <w:jc w:val="center"/>
              <w:ind w:left="2171"/>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Pediatrix Medical Group, Inc. Second Amended and Restated 2008 Incentive Compensation Plan</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(Full title of the plan)</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Kasandra H. Rossi</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Pediatrix Medical Group,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1301 Concord Terrace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Sunrise, Florida 33323</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(954) 384-0175</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6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Joshua M. Samek, Esq.</w:t>
      </w:r>
    </w:p>
    <w:p>
      <w:pPr>
        <w:spacing w:after="0" w:line="4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Sidley Austin LLP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830 Brickell Plaza</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Miami, Florida 33131</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(305) 391-5100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6" w:lineRule="exact"/>
        <w:rPr>
          <w:sz w:val="24"/>
          <w:szCs w:val="24"/>
          <w:color w:val="auto"/>
        </w:rPr>
      </w:pPr>
    </w:p>
    <w:p>
      <w:pPr>
        <w:ind w:right="2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1580"/>
              <w:spacing w:after="0"/>
              <w:rPr>
                <w:sz w:val="20"/>
                <w:szCs w:val="20"/>
                <w:color w:val="auto"/>
              </w:rPr>
            </w:pPr>
            <w:r>
              <w:rPr>
                <w:rFonts w:ascii="Wingdings" w:cs="Wingdings" w:eastAsia="Wingdings" w:hAnsi="Wingdings"/>
                <w:sz w:val="16"/>
                <w:szCs w:val="16"/>
                <w:b w:val="1"/>
                <w:bCs w:val="1"/>
                <w:color w:val="auto"/>
              </w:rPr>
              <w:t>x</w:t>
            </w:r>
          </w:p>
        </w:tc>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Accelerated filer</w:t>
            </w:r>
          </w:p>
        </w:tc>
        <w:tc>
          <w:tcPr>
            <w:tcW w:w="2020" w:type="dxa"/>
            <w:vAlign w:val="bottom"/>
          </w:tcPr>
          <w:p>
            <w:pPr>
              <w:ind w:left="1880"/>
              <w:spacing w:after="0"/>
              <w:rPr>
                <w:sz w:val="20"/>
                <w:szCs w:val="20"/>
                <w:color w:val="auto"/>
              </w:rPr>
            </w:pPr>
            <w:r>
              <w:rPr>
                <w:rFonts w:ascii="Wingdings" w:cs="Wingdings" w:eastAsia="Wingdings" w:hAnsi="Wingdings"/>
                <w:sz w:val="16"/>
                <w:szCs w:val="16"/>
                <w:b w:val="1"/>
                <w:bCs w:val="1"/>
                <w:color w:val="auto"/>
                <w:w w:val="83"/>
              </w:rPr>
              <w:t>o</w:t>
            </w:r>
          </w:p>
        </w:tc>
      </w:tr>
      <w:tr>
        <w:trPr>
          <w:trHeight w:val="254"/>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1600"/>
              <w:spacing w:after="0"/>
              <w:rPr>
                <w:sz w:val="20"/>
                <w:szCs w:val="20"/>
                <w:color w:val="auto"/>
              </w:rPr>
            </w:pPr>
            <w:r>
              <w:rPr>
                <w:rFonts w:ascii="Wingdings" w:cs="Wingdings" w:eastAsia="Wingdings" w:hAnsi="Wingdings"/>
                <w:sz w:val="16"/>
                <w:szCs w:val="16"/>
                <w:b w:val="1"/>
                <w:bCs w:val="1"/>
                <w:color w:val="auto"/>
              </w:rPr>
              <w:t>o</w:t>
            </w:r>
          </w:p>
        </w:tc>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20" w:type="dxa"/>
            <w:vAlign w:val="bottom"/>
          </w:tcPr>
          <w:p>
            <w:pPr>
              <w:ind w:left="1880"/>
              <w:spacing w:after="0"/>
              <w:rPr>
                <w:sz w:val="20"/>
                <w:szCs w:val="20"/>
                <w:color w:val="auto"/>
              </w:rPr>
            </w:pPr>
            <w:r>
              <w:rPr>
                <w:rFonts w:ascii="Wingdings" w:cs="Wingdings" w:eastAsia="Wingdings" w:hAnsi="Wingdings"/>
                <w:sz w:val="16"/>
                <w:szCs w:val="16"/>
                <w:b w:val="1"/>
                <w:bCs w:val="1"/>
                <w:color w:val="auto"/>
                <w:w w:val="83"/>
              </w:rPr>
              <w:t>o</w:t>
            </w:r>
          </w:p>
        </w:tc>
      </w:tr>
      <w:tr>
        <w:trPr>
          <w:trHeight w:val="254"/>
        </w:trPr>
        <w:tc>
          <w:tcPr>
            <w:tcW w:w="30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20" w:type="dxa"/>
            <w:vAlign w:val="bottom"/>
          </w:tcPr>
          <w:p>
            <w:pPr>
              <w:ind w:left="188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219" w:lineRule="exact"/>
        <w:rPr>
          <w:sz w:val="24"/>
          <w:szCs w:val="24"/>
          <w:color w:val="auto"/>
        </w:rPr>
      </w:pPr>
    </w:p>
    <w:p>
      <w:pPr>
        <w:ind w:right="80"/>
        <w:spacing w:after="0" w:line="29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848360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Pediatrix Medical Group, Inc., a Florida corporation (the “Registrant”), relating to 8,000,000 shares of its common stock, par value $0.01 per share (the “Common Stock”), issuable under the Pediatrix Medical Group, Inc. Second Amended and Restated 2008 Incentive Compensation Plan (the “Plan”).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1" w:lineRule="exact"/>
        <w:rPr>
          <w:sz w:val="20"/>
          <w:szCs w:val="20"/>
          <w:color w:val="auto"/>
        </w:rPr>
      </w:pPr>
    </w:p>
    <w:p>
      <w:pPr>
        <w:jc w:val="both"/>
        <w:ind w:right="20" w:firstLine="749"/>
        <w:spacing w:after="0" w:line="270" w:lineRule="auto"/>
        <w:rPr>
          <w:sz w:val="20"/>
          <w:szCs w:val="20"/>
          <w:color w:val="auto"/>
        </w:rPr>
      </w:pPr>
      <w:r>
        <w:rPr>
          <w:rFonts w:ascii="Times New Roman" w:cs="Times New Roman" w:eastAsia="Times New Roman" w:hAnsi="Times New Roman"/>
          <w:sz w:val="17"/>
          <w:szCs w:val="17"/>
          <w:color w:val="auto"/>
        </w:rPr>
        <w:t>All information required by Part I to be contained in the prospectus is omitted from this Registration Statement in accordance with the explanatory note to Part I of Form S-8 and Rule 428 under the Securities Act of 1933, as amended (the “Securities Act”). Documents containing the information required by Part I of the Registration Statement will be sent or given to the participants in the Plan covered by this Registration Statement as specified by Rule 428(b)</w:t>
      </w:r>
    </w:p>
    <w:p>
      <w:pPr>
        <w:spacing w:after="0"/>
        <w:rPr>
          <w:sz w:val="20"/>
          <w:szCs w:val="20"/>
          <w:color w:val="auto"/>
        </w:rPr>
      </w:pPr>
      <w:r>
        <w:rPr>
          <w:rFonts w:ascii="Times New Roman" w:cs="Times New Roman" w:eastAsia="Times New Roman" w:hAnsi="Times New Roman"/>
          <w:sz w:val="18"/>
          <w:szCs w:val="18"/>
          <w:color w:val="auto"/>
        </w:rPr>
        <w:t>(1) under the Securities Act.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160" w:firstLine="749"/>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by the Registrant with the Securities and Exchange Commission (the “Commission”) are incorporated by reference into this Registration Statement:</w:t>
      </w:r>
    </w:p>
    <w:p>
      <w:pPr>
        <w:spacing w:after="0" w:line="190" w:lineRule="exact"/>
        <w:rPr>
          <w:sz w:val="20"/>
          <w:szCs w:val="20"/>
          <w:color w:val="auto"/>
        </w:rPr>
      </w:pPr>
    </w:p>
    <w:p>
      <w:pPr>
        <w:ind w:left="360" w:hanging="353"/>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19, 2026;</w:t>
      </w:r>
    </w:p>
    <w:p>
      <w:pPr>
        <w:spacing w:after="0" w:line="247"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6">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Commission on May 5, 2026;</w:t>
      </w:r>
    </w:p>
    <w:p>
      <w:pPr>
        <w:spacing w:after="0" w:line="220"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w:t>
      </w:r>
      <w:hyperlink r:id="rId17">
        <w:r>
          <w:rPr>
            <w:rFonts w:ascii="Times New Roman" w:cs="Times New Roman" w:eastAsia="Times New Roman" w:hAnsi="Times New Roman"/>
            <w:sz w:val="18"/>
            <w:szCs w:val="18"/>
            <w:u w:val="single" w:color="auto"/>
            <w:color w:val="0000FF"/>
          </w:rPr>
          <w:t>Form 8-K</w:t>
        </w:r>
      </w:hyperlink>
      <w:r>
        <w:rPr>
          <w:rFonts w:ascii="Times New Roman" w:cs="Times New Roman" w:eastAsia="Times New Roman" w:hAnsi="Times New Roman"/>
          <w:sz w:val="18"/>
          <w:szCs w:val="18"/>
          <w:color w:val="auto"/>
        </w:rPr>
        <w:t>, filed with the Commission on May 7, 2026; and</w:t>
      </w:r>
    </w:p>
    <w:p>
      <w:pPr>
        <w:spacing w:after="0" w:line="247" w:lineRule="exact"/>
        <w:rPr>
          <w:rFonts w:ascii="Times New Roman" w:cs="Times New Roman" w:eastAsia="Times New Roman" w:hAnsi="Times New Roman"/>
          <w:sz w:val="18"/>
          <w:szCs w:val="18"/>
          <w:color w:val="auto"/>
        </w:rPr>
      </w:pPr>
    </w:p>
    <w:p>
      <w:pPr>
        <w:ind w:left="380" w:right="200" w:hanging="373"/>
        <w:spacing w:after="0" w:line="262" w:lineRule="auto"/>
        <w:tabs>
          <w:tab w:leader="none" w:pos="3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Form 8-A (Registration No. 001-12111), filed with the Commission on September 4, 1996, and any amendments or reports filed for the purpose of updating such description, including </w:t>
      </w:r>
      <w:hyperlink r:id="rId18">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2019, filed with the Commission on February 20, 2020.</w:t>
      </w:r>
    </w:p>
    <w:p>
      <w:pPr>
        <w:spacing w:after="0" w:line="177" w:lineRule="exact"/>
        <w:rPr>
          <w:rFonts w:ascii="Times New Roman" w:cs="Times New Roman" w:eastAsia="Times New Roman" w:hAnsi="Times New Roman"/>
          <w:sz w:val="18"/>
          <w:szCs w:val="18"/>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auto"/>
        </w:rPr>
      </w:pPr>
    </w:p>
    <w:p>
      <w:pPr>
        <w:jc w:val="both"/>
        <w:ind w:right="160" w:firstLine="749"/>
        <w:spacing w:after="0" w:line="285"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59" w:lineRule="exact"/>
        <w:rPr>
          <w:rFonts w:ascii="Times New Roman" w:cs="Times New Roman" w:eastAsia="Times New Roman" w:hAnsi="Times New Roman"/>
          <w:sz w:val="18"/>
          <w:szCs w:val="18"/>
          <w:color w:val="auto"/>
        </w:rPr>
      </w:pPr>
    </w:p>
    <w:p>
      <w:pPr>
        <w:jc w:val="both"/>
        <w:ind w:right="160" w:firstLine="749"/>
        <w:spacing w:after="0" w:line="277"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none of the information disclosed by the Registrant under Items 2.02 or 7.01 of any current report on Form 8-K, including the related exhibits under</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-7620</wp:posOffset>
            </wp:positionH>
            <wp:positionV relativeFrom="paragraph">
              <wp:posOffset>848995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2" w:name="page3"/>
    <w:bookmarkEnd w:id="2"/>
    <w:p>
      <w:pPr>
        <w:ind w:right="680"/>
        <w:spacing w:after="0" w:line="277" w:lineRule="auto"/>
        <w:rPr>
          <w:sz w:val="20"/>
          <w:szCs w:val="20"/>
          <w:color w:val="auto"/>
        </w:rPr>
      </w:pPr>
      <w:r>
        <w:rPr>
          <w:rFonts w:ascii="Times New Roman" w:cs="Times New Roman" w:eastAsia="Times New Roman" w:hAnsi="Times New Roman"/>
          <w:sz w:val="18"/>
          <w:szCs w:val="18"/>
          <w:color w:val="auto"/>
        </w:rPr>
        <w:t>Item 9.01, that the Registrant may from time to time furnish to the Commission will be incorporated by reference into, or otherwise included in, this Registration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33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As a corporation incorporated in the State of Florida, the Registrant is subject to the Florida Business Corporation Act (the “Florida Act”). Section 607.0831 of the Florida Act provides that a director is not personally liable for monetary damages to the corporation, or any other person, for any statement, vote, decision to take or not to take action, or any failure to take any action, as a director, unless (1) the director breached or failed to perform his or her duties as a director and (2) the director’s breach of, or failure to perform, those duties constitutes (a) a violation of the criminal law, unless the director had reasonable cause to believe his or her conduct was lawful or had no reasonable cause to believe his or her conduct was unlawful, (b) a transaction from which the director derived an improper personal benefit, either directly or indirectly, (c) a circumstance under which the liability provisions of Section 607.0834 are applicable, (d) in a proceeding by or in the right of the corporation to procure a judgment in its favor or by or in the right of a shareholder, conscious disregard for the best interest of the corporation, or willful or intentional misconduct, or (e) in a proceeding by or in the right of someone other than the corporation or a shareholder, recklessness or an act or omission which was committed in bad faith or with malicious purpose or in a manner exhibiting wanton and willful disregard of human rights, safety, or property. A judgment or other final adjudication against a director in any criminal proceeding for a violation of the criminal law estops that director from contesting the fact that his or her breach, or failure to perform, constitutes a violation of the criminal law; but does not estop the director from establishing that he or she had reasonable cause to believe that his or her conduct was lawful or had no reasonable cause to believe that his or her conduct was unlawful.</w:t>
      </w:r>
    </w:p>
    <w:p>
      <w:pPr>
        <w:spacing w:after="0" w:line="123"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Under Section 607.0851(1) of the Florida Act, a corporation has the power to indemnify any person, who was or is a party to any proceeding (other than an action by, or in the right of the corporation), by reason of the fact that he or she is or was a director or officer of the corporation or is or was serving at the request of the corporation as a director, officer, employee, or agent of another corporation, partnership, joint venture, trust or other enterprise against liability incurred in connection with such proceeding, including any appeal thereof,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proceeding by judgment, order, settlement or conviction or upon a plea of nolo contendere or its equivalent will not, of itself, create a presumption that the person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109"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Under Section 607.0851(4) of the Florida Act, a corporation has the power to indemnify any person, who was or is a party to any proceeding by or in the right of the corporation to procure a judgment in its favor by reason of the fact that the person is or was a director or officer of the corporation or is or was serving at the request of the corporation as a director, officer, employee, or agent of another corporation, partnership, joint venture, trust, or other enterprise,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 except that no indemnification shall be made under such subsection in respect of any claim, issue, or matter as to which such person shall have been adjudged to be liable unless, and only to the extent that, the court in which such proceeding was brought, or any other court of competent jurisdiction,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865505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spacing w:after="0" w:line="111"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color w:val="auto"/>
        </w:rPr>
        <w:t>upon application that, despite the adjudication of liability but in view of all circumstances of the case, such person is fairly and reasonably entitled to indemnity for such expenses which such court shall deem proper.</w:t>
      </w:r>
    </w:p>
    <w:p>
      <w:pPr>
        <w:spacing w:after="0" w:line="83" w:lineRule="exact"/>
        <w:rPr>
          <w:sz w:val="20"/>
          <w:szCs w:val="20"/>
          <w:color w:val="auto"/>
        </w:rPr>
      </w:pPr>
    </w:p>
    <w:p>
      <w:pPr>
        <w:jc w:val="both"/>
        <w:ind w:right="160" w:firstLine="749"/>
        <w:spacing w:after="0" w:line="262" w:lineRule="auto"/>
        <w:rPr>
          <w:sz w:val="20"/>
          <w:szCs w:val="20"/>
          <w:color w:val="auto"/>
        </w:rPr>
      </w:pPr>
      <w:r>
        <w:rPr>
          <w:rFonts w:ascii="Times New Roman" w:cs="Times New Roman" w:eastAsia="Times New Roman" w:hAnsi="Times New Roman"/>
          <w:sz w:val="18"/>
          <w:szCs w:val="18"/>
          <w:color w:val="auto"/>
        </w:rPr>
        <w:t>In addition, under Section 607.0852 of the Florida Act, to the extent that a director or officer of the corporation has been successful on the merits or otherwise in defense of any proceeding, or in defense of any claim, issue, or matter therein, he or she shall be indemnified against expenses actually and reasonably incurred by him or her in connection therewith.</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Section 607.0858(1) of the Florida Act, the indemnification and advancement of expenses provided pursuant to Sections 607.0851,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607.0852 and 607.0853 of the Florida Act is not exclusive, and a corporation may make any other or further indemnification or advancement of expenses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directors or officers, under any bylaw, agreement, vote of shareholders or disinterested directors, or otherwise, both as to action in his or 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capacity and as to action in another capacity while holding such office. However, under Section 607.0859 of the Florida Act, indemnification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advancement of expenses shall not be made to or on behalf of any director or officer if a judgment or other final adjudication establishes that his or 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or omissions to act, were material to the cause of action so adjudicated and constitute: (a) a violation of the criminal law, unless the director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had reasonable cause to believe his or her conduct was lawful or had no reasonable cause to believe his or her conduct was unlawful; (b) a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which the director or officer derived an improper personal benefit; (c) in the case of a director, a circumstance under which the above liability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607.0834 are applicable; or (d) willful or intentional misconduct or a conscious disregard for the best interests of the corporation in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by or in the right of the corporation to procure a judgment in its favor or in a proceeding by or in the right of a shareholder. The Registrant’s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articles of incorporation, as amended, provide that the Registrant shall indemnify and may advance expenses to its officers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to the fullest extent permitted by the current law.</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Section 607.0857 also provides that a corporation may purchase and maintain insurance on behalf of any person who is or was a director or officer of the corporation against any liability asserted against the person and incurred by him or her in any such capacity or arising out of his status as such, whether or not the corporation would have the power to indemnify him against such liability under the provisions of the Florida Act. The Registrant currently maintains directors’ and officers’ liability insurance for its directors and officers and those of its principal subsidiaries and affiliate companies against certain liabilities.</w:t>
      </w:r>
    </w:p>
    <w:p>
      <w:pPr>
        <w:spacing w:after="0" w:line="103"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member of its board of directors and its executive officers. The indemnification agreements require, among other things, that the Registrant indemnify to the fullest extent permitted by law and advance to each indemnified director and executive officer all related expenses, subject to reimbursement if it is subsequently determined that indemnification is not permitted. Under the indemnification agreements, the Registrant must also indemnify and advance all expenses incurred by an indemnified director or executive officer seeking to enforce his or her rights under the indemnification agreements and purchase and generally maintain in effect directors’ and officers’ liability insurance during the term, and for a period of five years following the termination, of each director’s and executive officer’s service. Although the indemnification agreements offer substantially the same scope of coverage afforded by law, they provide greater assurance to directors and executive officers that indemnification will be available, because, as contracts, they cannot be modified unilaterally in the future by the Registrant’s board of directors or the shareholders to eliminate the rights they provide.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1971040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w:t>
            </w:r>
          </w:p>
        </w:tc>
        <w:tc>
          <w:tcPr>
            <w:tcW w:w="97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Second Amended and Restated Articles of Incorporation of the Registrant (incorporated by reference to Exhibit 3.1 to the Registrant’s</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9760" w:type="dxa"/>
            <w:vAlign w:val="bottom"/>
            <w:gridSpan w:val="12"/>
          </w:tcPr>
          <w:p>
            <w:pPr>
              <w:spacing w:after="0" w:line="194"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Quarterly Report on Form 10-Q for the period ended June 30, 2022).</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800" w:type="dxa"/>
            <w:vAlign w:val="bottom"/>
            <w:vMerge w:val="continue"/>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Second Amended and Restated Bylaws of the Registrant (incorporated by reference to Exhibit 3.1 to the Registrant’s Quarterly Report</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9760" w:type="dxa"/>
            <w:vAlign w:val="bottom"/>
            <w:gridSpan w:val="12"/>
          </w:tcPr>
          <w:p>
            <w:pPr>
              <w:spacing w:after="0" w:line="194"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on Form 10-Q for the period ended June 30, 2023).</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800" w:type="dxa"/>
            <w:vAlign w:val="bottom"/>
            <w:vMerge w:val="continue"/>
          </w:tcPr>
          <w:p>
            <w:pPr>
              <w:spacing w:after="0"/>
              <w:rPr>
                <w:sz w:val="24"/>
                <w:szCs w:val="24"/>
                <w:color w:val="auto"/>
              </w:rPr>
            </w:pPr>
          </w:p>
        </w:tc>
        <w:tc>
          <w:tcPr>
            <w:tcW w:w="96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Pediatrix Medical Group, Inc. Second Amended and Restated 2008 Incentive Compensation Plan (incorporated by reference to Exhibit</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9760" w:type="dxa"/>
            <w:vAlign w:val="bottom"/>
            <w:gridSpan w:val="12"/>
          </w:tcPr>
          <w:p>
            <w:pPr>
              <w:spacing w:after="0" w:line="194"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 to Registrant’s Definitive Proxy Statement on Schedule 14A, filed with the Commission on March 27, 2026).</w:t>
              </w:r>
            </w:hyperlink>
          </w:p>
        </w:tc>
        <w:tc>
          <w:tcPr>
            <w:tcW w:w="0" w:type="dxa"/>
            <w:vAlign w:val="bottom"/>
          </w:tcPr>
          <w:p>
            <w:pPr>
              <w:spacing w:after="0"/>
              <w:rPr>
                <w:sz w:val="1"/>
                <w:szCs w:val="1"/>
                <w:color w:val="auto"/>
              </w:rPr>
            </w:pPr>
          </w:p>
        </w:tc>
      </w:tr>
      <w:tr>
        <w:trPr>
          <w:trHeight w:val="51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5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Opinion of Sidley Austin LLP with respect to validity of issuance of securities.</w:t>
            </w:r>
          </w:p>
        </w:tc>
        <w:tc>
          <w:tcPr>
            <w:tcW w:w="2320" w:type="dxa"/>
            <w:vAlign w:val="bottom"/>
            <w:tcBorders>
              <w:top w:val="single" w:sz="8" w:color="0000FF"/>
            </w:tcBorders>
            <w:gridSpan w:val="2"/>
          </w:tcPr>
          <w:p>
            <w:pPr>
              <w:spacing w:after="0"/>
              <w:rPr>
                <w:sz w:val="24"/>
                <w:szCs w:val="24"/>
                <w:color w:val="auto"/>
              </w:rPr>
            </w:pPr>
          </w:p>
        </w:tc>
        <w:tc>
          <w:tcPr>
            <w:tcW w:w="1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5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Sidley Austin LLP (included as part of Exhibit 5.1 hereto).</w:t>
            </w:r>
          </w:p>
        </w:tc>
        <w:tc>
          <w:tcPr>
            <w:tcW w:w="4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4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5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5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Powers of Attorney (included in the signature page to this Registration Statement).</w:t>
            </w:r>
          </w:p>
        </w:tc>
        <w:tc>
          <w:tcPr>
            <w:tcW w:w="3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Calculation of Filing Fee Table.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Filed herewith.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51" w:lineRule="exact"/>
        <w:rPr>
          <w:sz w:val="20"/>
          <w:szCs w:val="20"/>
          <w:color w:val="auto"/>
        </w:rPr>
      </w:pPr>
    </w:p>
    <w:p>
      <w:pPr>
        <w:ind w:left="240" w:hanging="233"/>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760" w:hanging="244"/>
        <w:spacing w:after="0"/>
        <w:tabs>
          <w:tab w:leader="none" w:pos="7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240" w:hanging="215"/>
        <w:spacing w:after="0"/>
        <w:tabs>
          <w:tab w:leader="none" w:pos="1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right="60" w:firstLine="1025"/>
        <w:spacing w:after="0" w:line="252" w:lineRule="auto"/>
        <w:tabs>
          <w:tab w:leader="none" w:pos="128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firstLine="1025"/>
        <w:spacing w:after="0" w:line="277" w:lineRule="auto"/>
        <w:tabs>
          <w:tab w:leader="none" w:pos="133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984885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400" w:right="519" w:bottom="1440" w:gutter="0" w:footer="0" w:header="0"/>
        </w:sectPr>
      </w:pPr>
    </w:p>
    <w:bookmarkStart w:id="5" w:name="page6"/>
    <w:bookmarkEnd w:id="5"/>
    <w:p>
      <w:pPr>
        <w:ind w:right="18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right="460" w:firstLine="516"/>
        <w:spacing w:after="0" w:line="262" w:lineRule="auto"/>
        <w:tabs>
          <w:tab w:leader="none" w:pos="76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rFonts w:ascii="Times New Roman" w:cs="Times New Roman" w:eastAsia="Times New Roman" w:hAnsi="Times New Roman"/>
          <w:sz w:val="18"/>
          <w:szCs w:val="18"/>
          <w:color w:val="auto"/>
        </w:rPr>
      </w:pPr>
    </w:p>
    <w:p>
      <w:pPr>
        <w:ind w:firstLine="516"/>
        <w:spacing w:after="0" w:line="277" w:lineRule="auto"/>
        <w:tabs>
          <w:tab w:leader="none" w:pos="76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70" w:lineRule="exact"/>
        <w:rPr>
          <w:rFonts w:ascii="Times New Roman" w:cs="Times New Roman" w:eastAsia="Times New Roman" w:hAnsi="Times New Roman"/>
          <w:sz w:val="18"/>
          <w:szCs w:val="18"/>
          <w:color w:val="auto"/>
        </w:rPr>
      </w:pPr>
    </w:p>
    <w:p>
      <w:pPr>
        <w:ind w:right="60" w:firstLine="7"/>
        <w:spacing w:after="0" w:line="288" w:lineRule="auto"/>
        <w:tabs>
          <w:tab w:leader="none" w:pos="25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50" w:lineRule="exact"/>
        <w:rPr>
          <w:rFonts w:ascii="Times New Roman" w:cs="Times New Roman" w:eastAsia="Times New Roman" w:hAnsi="Times New Roman"/>
          <w:sz w:val="17"/>
          <w:szCs w:val="17"/>
          <w:color w:val="auto"/>
        </w:rPr>
      </w:pPr>
    </w:p>
    <w:p>
      <w:pPr>
        <w:ind w:right="80" w:firstLine="7"/>
        <w:spacing w:after="0" w:line="270" w:lineRule="auto"/>
        <w:tabs>
          <w:tab w:leader="none" w:pos="24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Sunrise, State of Florida, on May 21, 2026.</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Pediatrix Medical Group, Inc.</w:t>
            </w:r>
          </w:p>
        </w:tc>
        <w:tc>
          <w:tcPr>
            <w:tcW w:w="7480" w:type="dxa"/>
            <w:vAlign w:val="bottom"/>
          </w:tcPr>
          <w:p>
            <w:pPr>
              <w:spacing w:after="0"/>
              <w:rPr>
                <w:sz w:val="20"/>
                <w:szCs w:val="20"/>
                <w:color w:val="auto"/>
              </w:rPr>
            </w:pPr>
          </w:p>
        </w:tc>
      </w:tr>
      <w:tr>
        <w:trPr>
          <w:trHeight w:val="50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Mark S. Ordan</w:t>
            </w:r>
          </w:p>
        </w:tc>
      </w:tr>
      <w:tr>
        <w:trPr>
          <w:trHeight w:val="26"/>
        </w:trPr>
        <w:tc>
          <w:tcPr>
            <w:tcW w:w="3740" w:type="dxa"/>
            <w:vAlign w:val="bottom"/>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S. Ordan</w:t>
            </w:r>
          </w:p>
        </w:tc>
      </w:tr>
      <w:tr>
        <w:trPr>
          <w:trHeight w:val="26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7"/>
          <w:szCs w:val="17"/>
          <w:color w:val="auto"/>
        </w:rPr>
        <w:t>KNOW ALL MEN BY THESE PRESENTS, that each of the undersigned hereby constitutes and appoints, jointly and severally, Mark S. Ordan, Gregory Neeb, Kasandra H. Rossi and Mary Ann E. Moore, or any of them (with full power to each of them to act alone), as his or her true and lawful attorneys-in-fact and agents, each with full power of substitution and resubstitution, for him or her and on his or her behalf to sign, execute and file all amendments (including, without limitation, post-effective amendments) to this Registration Statement, and to file the same, with all exhibits thereto and any documents required to be filed with respect therewith, with the Commission or any regulatory authority, granting unto such attorneys-in-fact and agents, and each of them, full power and authority to do and perform each and every act and thing requisite and necessary to be done in connection therewith and about the premises in order to effectuate the same as fully to all intents and purposes as he or she might or could do if personally present, hereby ratifying and confirming all that such attorneys-in-fact and agents, or any of them, or his, her or their substitute or substitutes, may lawfully do or cause to be done.</w:t>
      </w:r>
    </w:p>
    <w:p>
      <w:pPr>
        <w:spacing w:after="0" w:line="177" w:lineRule="exact"/>
        <w:rPr>
          <w:sz w:val="20"/>
          <w:szCs w:val="20"/>
          <w:color w:val="auto"/>
        </w:rPr>
      </w:pPr>
    </w:p>
    <w:p>
      <w:pPr>
        <w:ind w:right="240" w:firstLine="74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848995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7" w:name="page8"/>
    <w:bookmarkEnd w:id="7"/>
    <w:p>
      <w:pPr>
        <w:spacing w:after="0" w:line="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35560</wp:posOffset>
            </wp:positionV>
            <wp:extent cx="1781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 Ordan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Kasandra H.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Kasandra H. Rossi</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Guy P. Sansone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P. Sansone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 A. Linynsky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A. Linynsky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A. McEachin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A. McEachin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Kurt D. Newman,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1781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Kurt D. Newman, M.D.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 Rucker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 Starcher,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Starcher, Jr.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Shirley A. Weis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Shirley A. Weis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Sylvia J.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781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J. Young</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35560</wp:posOffset>
            </wp:positionV>
            <wp:extent cx="382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825875" cy="8255"/>
                    </a:xfrm>
                    <a:prstGeom prst="rect">
                      <a:avLst/>
                    </a:prstGeom>
                    <a:noFill/>
                  </pic:spPr>
                </pic:pic>
              </a:graphicData>
            </a:graphic>
          </wp:anchor>
        </w:drawing>
      </w:r>
    </w:p>
    <w:p>
      <w:pPr>
        <w:spacing w:after="0" w:line="35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75"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0" w:lineRule="exact"/>
        <w:rPr>
          <w:sz w:val="20"/>
          <w:szCs w:val="20"/>
          <w:color w:val="auto"/>
        </w:rPr>
      </w:pPr>
    </w:p>
    <w:p>
      <w:pPr>
        <w:spacing w:after="0" w:line="2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1453515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43815</wp:posOffset>
            </wp:positionV>
            <wp:extent cx="1348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21, 2026</w:t>
      </w:r>
    </w:p>
    <w:p>
      <w:pPr>
        <w:sectPr>
          <w:pgSz w:w="11900" w:h="16838" w:orient="portrait"/>
          <w:cols w:equalWidth="0" w:num="3">
            <w:col w:w="3000" w:space="720"/>
            <w:col w:w="5220" w:space="720"/>
            <w:col w:w="1000"/>
          </w:cols>
          <w:pgMar w:left="340" w:top="1426" w:right="899" w:bottom="1440" w:gutter="0" w:footer="0" w:header="0"/>
        </w:sectPr>
      </w:pPr>
    </w:p>
    <w:bookmarkStart w:id="8" w:name="page9"/>
    <w:bookmarkEnd w:id="8"/>
    <w:p>
      <w:pPr>
        <w:ind w:left="3060"/>
        <w:spacing w:after="0"/>
        <w:rPr>
          <w:sz w:val="20"/>
          <w:szCs w:val="20"/>
          <w:color w:val="auto"/>
        </w:rPr>
      </w:pPr>
      <w:r>
        <w:rPr>
          <w:rFonts w:ascii="Arial" w:cs="Arial" w:eastAsia="Arial" w:hAnsi="Arial"/>
          <w:sz w:val="12"/>
          <w:szCs w:val="12"/>
          <w:color w:val="auto"/>
        </w:rPr>
        <w:t>SIDLEY AUSTIN LLP</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2"/>
          <w:szCs w:val="12"/>
          <w:color w:val="auto"/>
        </w:rPr>
        <w:t>830 BRICKELL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1247140" cy="288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47140" cy="288290"/>
                    </a:xfrm>
                    <a:prstGeom prst="rect">
                      <a:avLst/>
                    </a:prstGeom>
                    <a:noFill/>
                  </pic:spPr>
                </pic:pic>
              </a:graphicData>
            </a:graphic>
          </wp:anchor>
        </w:drawing>
      </w:r>
    </w:p>
    <w:p>
      <w:pPr>
        <w:ind w:left="3060"/>
        <w:spacing w:after="0" w:line="232" w:lineRule="auto"/>
        <w:rPr>
          <w:sz w:val="20"/>
          <w:szCs w:val="20"/>
          <w:color w:val="auto"/>
        </w:rPr>
      </w:pPr>
      <w:r>
        <w:rPr>
          <w:rFonts w:ascii="Arial" w:cs="Arial" w:eastAsia="Arial" w:hAnsi="Arial"/>
          <w:sz w:val="12"/>
          <w:szCs w:val="12"/>
          <w:color w:val="auto"/>
        </w:rPr>
        <w:t>SUITE 4300</w:t>
      </w:r>
    </w:p>
    <w:p>
      <w:pPr>
        <w:ind w:left="3060"/>
        <w:spacing w:after="0"/>
        <w:rPr>
          <w:sz w:val="20"/>
          <w:szCs w:val="20"/>
          <w:color w:val="auto"/>
        </w:rPr>
      </w:pPr>
      <w:r>
        <w:rPr>
          <w:rFonts w:ascii="Arial" w:cs="Arial" w:eastAsia="Arial" w:hAnsi="Arial"/>
          <w:sz w:val="10"/>
          <w:szCs w:val="10"/>
          <w:color w:val="auto"/>
        </w:rPr>
        <w:t>MIAMI, FLORIDA 33131</w:t>
      </w:r>
    </w:p>
    <w:p>
      <w:pPr>
        <w:spacing w:after="0" w:line="14" w:lineRule="exact"/>
        <w:rPr>
          <w:sz w:val="20"/>
          <w:szCs w:val="20"/>
          <w:color w:val="auto"/>
        </w:rPr>
      </w:pPr>
    </w:p>
    <w:p>
      <w:pPr>
        <w:ind w:left="3060"/>
        <w:spacing w:after="0"/>
        <w:rPr>
          <w:sz w:val="20"/>
          <w:szCs w:val="20"/>
          <w:color w:val="auto"/>
        </w:rPr>
      </w:pPr>
      <w:r>
        <w:rPr>
          <w:rFonts w:ascii="Arial" w:cs="Arial" w:eastAsia="Arial" w:hAnsi="Arial"/>
          <w:sz w:val="12"/>
          <w:szCs w:val="12"/>
          <w:color w:val="auto"/>
        </w:rPr>
        <w:t>+1 305 391 5100</w:t>
      </w:r>
    </w:p>
    <w:p>
      <w:pPr>
        <w:ind w:left="3060"/>
        <w:spacing w:after="0"/>
        <w:rPr>
          <w:sz w:val="20"/>
          <w:szCs w:val="20"/>
          <w:color w:val="auto"/>
        </w:rPr>
      </w:pPr>
      <w:r>
        <w:rPr>
          <w:rFonts w:ascii="Arial" w:cs="Arial" w:eastAsia="Arial" w:hAnsi="Arial"/>
          <w:sz w:val="12"/>
          <w:szCs w:val="12"/>
          <w:color w:val="auto"/>
        </w:rPr>
        <w:t>+1 305 391 5101 FAX</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728" w:lineRule="exact"/>
        <w:rPr>
          <w:sz w:val="20"/>
          <w:szCs w:val="20"/>
          <w:color w:val="auto"/>
        </w:rPr>
      </w:pPr>
    </w:p>
    <w:p>
      <w:pPr>
        <w:sectPr>
          <w:pgSz w:w="11900" w:h="16838" w:orient="portrait"/>
          <w:cols w:equalWidth="0" w:num="2">
            <w:col w:w="7020" w:space="720"/>
            <w:col w:w="1279"/>
          </w:cols>
          <w:pgMar w:left="1440" w:top="6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May 21, 2026</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Pediatrix Medical Group, Inc.</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1301 Concord Terrace</w:t>
      </w:r>
    </w:p>
    <w:p>
      <w:pPr>
        <w:ind w:left="340"/>
        <w:spacing w:after="0"/>
        <w:rPr>
          <w:sz w:val="20"/>
          <w:szCs w:val="20"/>
          <w:color w:val="auto"/>
        </w:rPr>
      </w:pPr>
      <w:r>
        <w:rPr>
          <w:rFonts w:ascii="Times New Roman" w:cs="Times New Roman" w:eastAsia="Times New Roman" w:hAnsi="Times New Roman"/>
          <w:sz w:val="21"/>
          <w:szCs w:val="21"/>
          <w:color w:val="auto"/>
        </w:rPr>
        <w:t>Sunrise, Florida 33323</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8,000,000 shares of Common Stock, $0.01 par value per share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We refer to the Registration Statement on Form S-8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being</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filed by Pediatrix Medical Group,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with the</w:t>
      </w:r>
    </w:p>
    <w:p>
      <w:pPr>
        <w:ind w:left="340"/>
        <w:spacing w:after="0" w:line="238" w:lineRule="auto"/>
        <w:rPr>
          <w:sz w:val="20"/>
          <w:szCs w:val="20"/>
          <w:color w:val="auto"/>
        </w:rPr>
      </w:pPr>
      <w:r>
        <w:rPr>
          <w:rFonts w:ascii="Times New Roman" w:cs="Times New Roman" w:eastAsia="Times New Roman" w:hAnsi="Times New Roman"/>
          <w:sz w:val="21"/>
          <w:szCs w:val="21"/>
          <w:color w:val="auto"/>
        </w:rPr>
        <w:t>Securities and Exchange Commission under the Securities Act of 1933, as amended (the</w:t>
      </w:r>
    </w:p>
    <w:p>
      <w:pPr>
        <w:ind w:left="3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relating to the registration of 8,000,000 shares of common stock, par value</w:t>
      </w:r>
    </w:p>
    <w:p>
      <w:pPr>
        <w:ind w:left="340"/>
        <w:spacing w:after="0" w:line="238" w:lineRule="auto"/>
        <w:rPr>
          <w:sz w:val="20"/>
          <w:szCs w:val="20"/>
          <w:color w:val="auto"/>
        </w:rPr>
      </w:pPr>
      <w:r>
        <w:rPr>
          <w:rFonts w:ascii="Times New Roman" w:cs="Times New Roman" w:eastAsia="Times New Roman" w:hAnsi="Times New Roman"/>
          <w:sz w:val="21"/>
          <w:szCs w:val="21"/>
          <w:color w:val="auto"/>
        </w:rPr>
        <w:t>$0.01 per share, of the Company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which may be issued under the</w:t>
      </w:r>
    </w:p>
    <w:p>
      <w:pPr>
        <w:ind w:left="340"/>
        <w:spacing w:after="0"/>
        <w:rPr>
          <w:sz w:val="20"/>
          <w:szCs w:val="20"/>
          <w:color w:val="auto"/>
        </w:rPr>
      </w:pPr>
      <w:r>
        <w:rPr>
          <w:rFonts w:ascii="Times New Roman" w:cs="Times New Roman" w:eastAsia="Times New Roman" w:hAnsi="Times New Roman"/>
          <w:sz w:val="21"/>
          <w:szCs w:val="21"/>
          <w:color w:val="auto"/>
        </w:rPr>
        <w:t>Pediatrix Medical Group, Inc. Second Amended and Restated 2008 Incentive Compensation Plan</w:t>
      </w:r>
    </w:p>
    <w:p>
      <w:pPr>
        <w:ind w:left="340"/>
        <w:spacing w:after="0" w:line="238"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the aggregate number of shares of Common Stock to be registered under the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Registration Statement, the “</w:t>
      </w:r>
      <w:r>
        <w:rPr>
          <w:rFonts w:ascii="Times New Roman" w:cs="Times New Roman" w:eastAsia="Times New Roman" w:hAnsi="Times New Roman"/>
          <w:sz w:val="21"/>
          <w:szCs w:val="21"/>
          <w:u w:val="single" w:color="auto"/>
          <w:color w:val="auto"/>
        </w:rPr>
        <w:t>Registered Shares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This opinion letter is being delivered in accordance with the requirements of Item 601(b)</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(5) of Regulation S-K under the Securities Act.</w:t>
      </w:r>
    </w:p>
    <w:p>
      <w:pPr>
        <w:spacing w:after="0" w:line="189" w:lineRule="exact"/>
        <w:rPr>
          <w:sz w:val="20"/>
          <w:szCs w:val="20"/>
          <w:color w:val="auto"/>
        </w:rPr>
      </w:pPr>
    </w:p>
    <w:p>
      <w:pPr>
        <w:ind w:left="340" w:right="539" w:firstLine="641"/>
        <w:spacing w:after="0" w:line="241" w:lineRule="auto"/>
        <w:rPr>
          <w:sz w:val="20"/>
          <w:szCs w:val="20"/>
          <w:color w:val="auto"/>
        </w:rPr>
      </w:pPr>
      <w:r>
        <w:rPr>
          <w:rFonts w:ascii="Times New Roman" w:cs="Times New Roman" w:eastAsia="Times New Roman" w:hAnsi="Times New Roman"/>
          <w:sz w:val="21"/>
          <w:szCs w:val="21"/>
          <w:color w:val="auto"/>
        </w:rPr>
        <w:t>We have examined the Registration Statement, the Company’s Second Amended and Restated Articles of Incorporation, the Company’s Second Amended and Restated Bylaws, the Plan, the resolutions adopted by the board of directors of the Company relating to the Registration Statement and the Plan and the proposal adopted by the shareholders of the Company relating to the Plan at the Company’s 2026 annual meeting of shareholders.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3" w:lineRule="exact"/>
        <w:rPr>
          <w:sz w:val="20"/>
          <w:szCs w:val="20"/>
          <w:color w:val="auto"/>
        </w:rPr>
      </w:pPr>
    </w:p>
    <w:p>
      <w:pPr>
        <w:ind w:left="340" w:right="339" w:firstLine="641"/>
        <w:spacing w:after="0" w:line="257" w:lineRule="auto"/>
        <w:rPr>
          <w:sz w:val="20"/>
          <w:szCs w:val="20"/>
          <w:color w:val="auto"/>
        </w:rPr>
      </w:pPr>
      <w:r>
        <w:rPr>
          <w:rFonts w:ascii="Times New Roman" w:cs="Times New Roman" w:eastAsia="Times New Roman" w:hAnsi="Times New Roman"/>
          <w:sz w:val="21"/>
          <w:szCs w:val="21"/>
          <w:color w:val="auto"/>
        </w:rPr>
        <w:t>Based on the foregoing, we are of the opinion that each Registered Share that is newly issued pursuant to the Plan will be validly issued, fully paid and non-assessable when: (i) the Registration Statement, as finally amended, shall have become effective under the Securities Act;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0"/>
          <w:szCs w:val="10"/>
          <w:color w:val="auto"/>
        </w:rPr>
        <w:t>Sidley Austin (FL) LLP is a Delaware limited liability partnership doing business as Sidley Austin LLP and practicing in affiliation with other Sidley Austin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1341120</wp:posOffset>
            </wp:positionV>
            <wp:extent cx="696404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9" w:name="page10"/>
    <w:bookmarkEnd w:id="9"/>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1132205</wp:posOffset>
            </wp:positionH>
            <wp:positionV relativeFrom="page">
              <wp:posOffset>699770</wp:posOffset>
            </wp:positionV>
            <wp:extent cx="1247140" cy="288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47140" cy="2882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1"/>
          <w:szCs w:val="21"/>
          <w:color w:val="auto"/>
        </w:rPr>
        <w:t>Pediatrix Medical Group, Inc.</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May 21, 2026</w:t>
      </w:r>
    </w:p>
    <w:p>
      <w:pPr>
        <w:ind w:left="340"/>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right="379" w:firstLine="637"/>
        <w:spacing w:after="0" w:line="244" w:lineRule="auto"/>
        <w:tabs>
          <w:tab w:leader="none" w:pos="129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Registered Share shall have been duly issued and delivered in accordance with the Plan; and (iii) 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Plan.</w:t>
      </w:r>
    </w:p>
    <w:p>
      <w:pPr>
        <w:spacing w:after="0" w:line="173" w:lineRule="exact"/>
        <w:rPr>
          <w:sz w:val="20"/>
          <w:szCs w:val="20"/>
          <w:color w:val="auto"/>
        </w:rPr>
      </w:pPr>
    </w:p>
    <w:p>
      <w:pPr>
        <w:ind w:left="340" w:right="359" w:firstLine="641"/>
        <w:spacing w:after="0" w:line="252" w:lineRule="auto"/>
        <w:rPr>
          <w:sz w:val="20"/>
          <w:szCs w:val="20"/>
          <w:color w:val="auto"/>
        </w:rPr>
      </w:pPr>
      <w:r>
        <w:rPr>
          <w:rFonts w:ascii="Times New Roman" w:cs="Times New Roman" w:eastAsia="Times New Roman" w:hAnsi="Times New Roman"/>
          <w:sz w:val="21"/>
          <w:szCs w:val="21"/>
          <w:color w:val="auto"/>
        </w:rPr>
        <w:t>This opinion letter is limited to the Florida Business Corporation Act, as amended. We express no opinion as to the laws, rules or regulations of any other jurisdiction, including, without limitation, the federal laws of the United States of America or any state securities or blue sky laws.</w:t>
      </w:r>
    </w:p>
    <w:p>
      <w:pPr>
        <w:spacing w:after="0" w:line="200" w:lineRule="exact"/>
        <w:rPr>
          <w:sz w:val="20"/>
          <w:szCs w:val="20"/>
          <w:color w:val="auto"/>
        </w:rPr>
      </w:pPr>
    </w:p>
    <w:p>
      <w:pPr>
        <w:spacing w:after="0" w:line="215" w:lineRule="exact"/>
        <w:rPr>
          <w:sz w:val="20"/>
          <w:szCs w:val="20"/>
          <w:color w:val="auto"/>
        </w:rPr>
      </w:pPr>
    </w:p>
    <w:p>
      <w:pPr>
        <w:ind w:left="340" w:right="359" w:firstLine="641"/>
        <w:spacing w:after="0" w:line="251" w:lineRule="auto"/>
        <w:rPr>
          <w:sz w:val="20"/>
          <w:szCs w:val="20"/>
          <w:color w:val="auto"/>
        </w:rPr>
      </w:pPr>
      <w:r>
        <w:rPr>
          <w:rFonts w:ascii="Times New Roman" w:cs="Times New Roman" w:eastAsia="Times New Roman" w:hAnsi="Times New Roman"/>
          <w:sz w:val="21"/>
          <w:szCs w:val="21"/>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/s/ Sidley Austin LLP</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1030605</wp:posOffset>
            </wp:positionV>
            <wp:extent cx="696404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ind w:right="60"/>
        <w:spacing w:after="0" w:line="235"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Pediatrix Medical Group, Inc. of our report dated February 19, 2026 relating to the financial statements and the effectiveness of internal control over financial reporting, which appears in Pediatrix Medical Group, Inc.'s Annual Report on Form 10-K for the year ended December 31, 2025.</w:t>
      </w:r>
    </w:p>
    <w:p>
      <w:pPr>
        <w:spacing w:after="0" w:line="19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5" w:lineRule="auto"/>
        <w:rPr>
          <w:sz w:val="20"/>
          <w:szCs w:val="20"/>
          <w:color w:val="auto"/>
        </w:rPr>
      </w:pPr>
      <w:r>
        <w:rPr>
          <w:rFonts w:ascii="Georgia" w:cs="Georgia" w:eastAsia="Georgia" w:hAnsi="Georgia"/>
          <w:sz w:val="18"/>
          <w:szCs w:val="18"/>
          <w:color w:val="auto"/>
        </w:rPr>
        <w:t>Miami, Florida</w:t>
      </w:r>
    </w:p>
    <w:p>
      <w:pPr>
        <w:spacing w:after="0" w:line="236" w:lineRule="auto"/>
        <w:rPr>
          <w:sz w:val="20"/>
          <w:szCs w:val="20"/>
          <w:color w:val="auto"/>
        </w:rPr>
      </w:pPr>
      <w:r>
        <w:rPr>
          <w:rFonts w:ascii="Georgia" w:cs="Georgia" w:eastAsia="Georgia" w:hAnsi="Georgia"/>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1405255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1" w:name="page12"/>
    <w:bookmarkEnd w:id="1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Pediatrix Medical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8,000,000</w:t>
            </w:r>
          </w:p>
        </w:tc>
        <w:tc>
          <w:tcPr>
            <w:tcW w:w="40" w:type="dxa"/>
            <w:vAlign w:val="bottom"/>
          </w:tcPr>
          <w:p>
            <w:pPr>
              <w:spacing w:after="0"/>
              <w:rPr>
                <w:sz w:val="20"/>
                <w:szCs w:val="2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$ 23.02</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$ 25,432.50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184,160,000.00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$ 25,432.50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184,160,000.00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$ 25,432.50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318" w:lineRule="exact"/>
        <w:rPr>
          <w:sz w:val="20"/>
          <w:szCs w:val="20"/>
          <w:color w:val="auto"/>
        </w:rPr>
      </w:pPr>
    </w:p>
    <w:p>
      <w:pPr>
        <w:ind w:left="800" w:right="680" w:firstLine="2"/>
        <w:spacing w:after="0" w:line="241"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Pediatrix Medical Group, Inc., a Florida corporation (the "Registrant"), is filing this Registration Statement to register 8,000,000 shares of common stock, par value $0.01 per share (the "Common Stock"), for issuance under the Pediatrix Medical Group, Inc. Second Amended and Restated 2008 Incentive Compensation Plan (the "Plan"). Pursuant to Rule 416(a) under the Securities Act of 1933, as amended (the "Securities Act"), this Registration Statement also covers such additional and indeterminate number of shares of Common Stock, which may become issuable pursuant to the provisions of the Plan relating to adjustments for changes resulting from a stock dividend, stock split, recapitalization or other similar transaction effected without the receipt of consideration which results in an increase in the number of outstanding shares of Common Stock.</w:t>
      </w:r>
    </w:p>
    <w:p>
      <w:pPr>
        <w:spacing w:after="0" w:line="1" w:lineRule="exact"/>
        <w:rPr>
          <w:rFonts w:ascii="Arial" w:cs="Arial" w:eastAsia="Arial" w:hAnsi="Arial"/>
          <w:sz w:val="21"/>
          <w:szCs w:val="21"/>
          <w:color w:val="auto"/>
        </w:rPr>
      </w:pPr>
    </w:p>
    <w:p>
      <w:pPr>
        <w:jc w:val="both"/>
        <w:ind w:left="800" w:right="1040" w:firstLine="2"/>
        <w:spacing w:after="0" w:line="245"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offering price per unit and in the aggregate are estimated pursuant to Rule 457(h) under the Securities Act solely for the purposes of calculating the amount of the registration fee, based on the average of the high and low sales prices of the Common Stock reported on the New York Stock Exchange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230505</wp:posOffset>
            </wp:positionV>
            <wp:extent cx="6387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jpeg"/><Relationship Id="rId44" Type="http://schemas.openxmlformats.org/officeDocument/2006/relationships/image" Target="media/image30.png"/><Relationship Id="rId45" Type="http://schemas.openxmlformats.org/officeDocument/2006/relationships/image" Target="media/image31.jpe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5" Type="http://schemas.openxmlformats.org/officeDocument/2006/relationships/hyperlink" Target="https://www.sec.gov/ix?doc=/Archives/edgar/data/0000893949/000119312526058074/md-20251231.htm" TargetMode="External"/><Relationship Id="rId16" Type="http://schemas.openxmlformats.org/officeDocument/2006/relationships/hyperlink" Target="https://www.sec.gov/ix?doc=/Archives/edgar/data/0000893949/000119312526204993/md-20260331.htm" TargetMode="External"/><Relationship Id="rId17" Type="http://schemas.openxmlformats.org/officeDocument/2006/relationships/hyperlink" Target="https://www.sec.gov/ix?doc=/Archives/edgar/data/893949/000119312526212117/md-20260507.htm" TargetMode="External"/><Relationship Id="rId18" Type="http://schemas.openxmlformats.org/officeDocument/2006/relationships/hyperlink" Target="https://www.sec.gov/Archives/edgar/data/893949/000119312520042622/d834090dex410.htm" TargetMode="External"/><Relationship Id="rId22" Type="http://schemas.openxmlformats.org/officeDocument/2006/relationships/hyperlink" Target="https://www.sec.gov/Archives/edgar/data/893949/000095017022014473/md-ex3_1.htm" TargetMode="External"/><Relationship Id="rId23" Type="http://schemas.openxmlformats.org/officeDocument/2006/relationships/hyperlink" Target="https://www.sec.gov/Archives/edgar/data/893949/000095017023037565/md-ex3_1.htm" TargetMode="External"/><Relationship Id="rId24" Type="http://schemas.openxmlformats.org/officeDocument/2006/relationships/hyperlink" Target="https://www.sec.gov/ix?doc=/Archives/edgar/data/893949/000119312526127299/md-202603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2026-05-21T16:02:48Z</dcterms:created>
  <dcterms:modified xsi:type="dcterms:W3CDTF">2026-05-21T16:02:48Z</dcterms:modified>
</cp:coreProperties>
</file>