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-224790</wp:posOffset>
            </wp:positionV>
            <wp:extent cx="121920" cy="1219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21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4" w:lineRule="exact"/>
        <w:rPr>
          <w:sz w:val="24"/>
          <w:szCs w:val="24"/>
          <w:color w:val="auto"/>
        </w:rPr>
      </w:pPr>
    </w:p>
    <w:p>
      <w:pPr>
        <w:ind w:left="34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-654685</wp:posOffset>
            </wp:positionV>
            <wp:extent cx="121920" cy="1219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21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9"/>
        </w:trPr>
        <w:tc>
          <w:tcPr>
            <w:tcW w:w="6260" w:type="dxa"/>
            <w:vAlign w:val="bottom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5241925</wp:posOffset>
            </wp:positionH>
            <wp:positionV relativeFrom="paragraph">
              <wp:posOffset>-621030</wp:posOffset>
            </wp:positionV>
            <wp:extent cx="5778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3966845</wp:posOffset>
            </wp:positionH>
            <wp:positionV relativeFrom="paragraph">
              <wp:posOffset>-621030</wp:posOffset>
            </wp:positionV>
            <wp:extent cx="57785" cy="6343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737235</wp:posOffset>
            </wp:positionV>
            <wp:extent cx="6994525" cy="46069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4525" cy="4606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00"/>
            <w:col w:w="848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Haddock David</w:t>
        </w:r>
      </w:hyperlink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1301 CONCORD TERRACE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89"/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Pediatrix Medical Group,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MD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06/22/2026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660" w:firstLine="9"/>
        <w:spacing w:after="0" w:line="255" w:lineRule="auto"/>
        <w:tabs>
          <w:tab w:leader="none" w:pos="13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531"/>
        <w:spacing w:after="0"/>
        <w:tabs>
          <w:tab w:leader="none" w:pos="207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31"/>
        <w:spacing w:after="0"/>
        <w:tabs>
          <w:tab w:leader="none" w:pos="207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87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GC &amp; Corp Sec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9" w:space="720"/>
            <w:col w:w="3351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10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SUNRISE</w:t>
            </w:r>
          </w:p>
        </w:tc>
        <w:tc>
          <w:tcPr>
            <w:tcW w:w="7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33323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10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06/22/2026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20,036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0.00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20,036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60" w:type="dxa"/>
            <w:vAlign w:val="bottom"/>
            <w:gridSpan w:val="12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2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Performance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9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06/22/2026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51,000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9"/>
              </w:rPr>
              <w:t>51,000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 Unit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-1904365</wp:posOffset>
            </wp:positionV>
            <wp:extent cx="29210" cy="191008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191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 w:right="200" w:firstLine="1"/>
        <w:spacing w:after="0" w:line="239" w:lineRule="auto"/>
        <w:tabs>
          <w:tab w:leader="none" w:pos="168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shares granted pursuant to the Issuer's Second Amended and Restated 2008 Incentive Compensation Plan (the "Plan"), in connection with an annual equity award. Twenty-five percent (25%) of the restricted shares will vest on June 1, 2027, twenty-five percent (25%) of the restricted shares will vest on June 1, 2028 and fifty percent (50%) of the restricted shares will vest on June 1, 2029, subject to the terms of the Plan.</w:t>
      </w:r>
    </w:p>
    <w:p>
      <w:pPr>
        <w:spacing w:after="0" w:line="2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1"/>
        <w:spacing w:after="0" w:line="239" w:lineRule="auto"/>
        <w:tabs>
          <w:tab w:leader="none" w:pos="168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Performance Share Unit ("PSU") represents a contingent right to receive one share of the Issuer's Common Stock upon vesting. The PSUs vest upon the satisfaction of both a service-based condition and a performance-based condition. The PSUs will vest, to the extent earned, on the three-year anniversary of the grant date, with the shares underlying the PSUs being earned in one-third installments based on the Issuer achieving stock price hurdles equal to 115%, 125% and 135% of $22.66 for at least 20 consecutive trading days before the third anniversary of the grant date.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/s/ David Haddock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06/24/2026</w:t>
            </w:r>
          </w:p>
        </w:tc>
      </w:tr>
      <w:tr>
        <w:trPr>
          <w:trHeight w:val="20"/>
        </w:trPr>
        <w:tc>
          <w:tcPr>
            <w:tcW w:w="1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60" w:firstLine="1"/>
        <w:spacing w:after="0" w:line="333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01357" TargetMode="External"/><Relationship Id="rId14" Type="http://schemas.openxmlformats.org/officeDocument/2006/relationships/hyperlink" Target="http://www.sec.gov/cgi-bin/browse-edgar?action=getcompany&amp;CIK=000089394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2026-06-24T17:25:46Z</dcterms:created>
  <dcterms:modified xsi:type="dcterms:W3CDTF">2026-06-24T17:25:46Z</dcterms:modified>
</cp:coreProperties>
</file>