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ORDAN MARK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1301 CONCORD TERRACE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SUNRISE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Pediatrix Medical Group, Inc.</w:t>
              </w:r>
            </w:hyperlink>
            <w:r>
              <w:rPr/>
              <w:t xml:space="preserve"> [ </w:t>
            </w:r>
            <w:r>
              <w:rPr>
                <w:rFonts w:ascii="Times;serif" w:hAnsi="Times;serif"/>
                <w:color w:val="0000FF"/>
                <w:sz w:val="24"/>
                <w:shd w:fill="FFFFFF" w:val="clear"/>
              </w:rPr>
              <w:t>MD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1012"/>
        <w:gridCol w:w="448"/>
        <w:gridCol w:w="751"/>
        <w:gridCol w:w="1152"/>
        <w:gridCol w:w="989"/>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127,198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430,003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19,119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21.54</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410,884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97,174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313,710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97,174</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410,884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shares granted pursuant to the Issuer's Second Amended and Restated 2008 Incentive Compensation Plan (the "Plan"), in connection with an annual equity award. Twenty-five percent (25%) of the restricted shares will vest on June 1, 2027, twenty-five percent (25%) of the restricted shares will vest on June 1, 2028 and fifty percent (50%) of the restricted shares will vest on June 1, 2029, subject to the terms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19,119 restricted shares withheld for payment of taxes upon vesting of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filed a Form 4 on June 3, 2025, reporting an annual equity award of 194,347 restricted shares granted on June 1, 2025 pursuant to the Issuer's Amended and Restated 2008 Incentive Compensation Plan (as further amended and restated on May 7, 2026, the "Plan"), which award, as originally reported, vested as to twenty-five percent (25%) on June 1, 2026, with the remaining portion scheduled to vest twenty-five percent (25%) on June 1, 2027 and fifty percent (50%) on June 1, 2028, in each case subject to the terms of the Plan. Due to the annual award limitations of the Plan, the award was revised so that the remaining fifty percent (50%) of the award that was scheduled to vest on June 1, 2028 was re-granted on June 2, 2026, which portion will still vest on June 1, 2028 in accordance with the original terms of the award, subject to the terms of the Plan and the underlying award agreement.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Ann E. Moore,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8541" TargetMode="External"/><Relationship Id="rId5" Type="http://schemas.openxmlformats.org/officeDocument/2006/relationships/hyperlink" Target="http://www.sec.gov/cgi-bin/browse-edgar?action=getcompany&amp;CIK=00008939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838</Words>
  <Characters>4388</Characters>
  <CharactersWithSpaces>5147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