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Newman Kurt Douglas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17,405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pursuant to Issuer's Second Amended and Restated 2008 Incentive Compensation Plan, reflecting an increase to the annual equity award. Shares will vest on May 7,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Haddock,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4784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3223</Characters>
  <CharactersWithSpaces>3747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