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d-20260721.htm"/>
      <w:bookmarkStart w:id="1" w:name="ksmd2026072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26682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7905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Pediatrix Medical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001-12111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26-3667538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1301 Concord Terrace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Sunrise,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33323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954</w:t>
            </w:r>
            <w:r>
              <w:rPr>
                <w:rFonts w:ascii="Times New Roman" w:hAnsi="Times New Roman"/>
                <w:color w:val="000000"/>
                <w:sz w:val="20"/>
              </w:rPr>
              <w:t xml:space="preserve"> </w:t>
            </w:r>
            <w:r>
              <w:rPr>
                <w:rFonts w:ascii="Times New Roman" w:hAnsi="Times New Roman"/>
                <w:b/>
                <w:color w:val="000000"/>
                <w:sz w:val="20"/>
              </w:rPr>
              <w:t>384-0175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reported, on May 1, 2026, Pediatrix Medical Group, Inc., a Florida corporation (the “Company”) and Ms. Mary Ann E. Moore determined that Ms. Moore would transition from her role as the Executive Vice President, General Counsel, Chief Administrative Officer and Secretary of the Company prior to the end of the calendar year. On July 21, 2026, Ms. Moore and PMG Services, Inc., a wholly-owned subsidiary of the Company (“PMG”), entered into a Separation Agreement pursuant to which Ms. Moore will serve in an advisory role to the Company until October 31, 2026 and transition from the Company effective as of such date. Ms. Moore’s transition from the Company is a termination without cause under that certain Second Amended and Restated Employment Agreement between Ms. Moore and PMG, and Ms. Moore will receive the benefits specified therein.</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appointed Mr. David Haddock as Executive Vice President, General Counsel and Secretary of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09" w:type="dxa"/>
        <w:jc w:val="left"/>
        <w:tblInd w:w="0" w:type="dxa"/>
        <w:tblLayout w:type="fixed"/>
        <w:tblCellMar>
          <w:top w:w="28" w:type="dxa"/>
          <w:left w:w="28" w:type="dxa"/>
          <w:bottom w:w="28" w:type="dxa"/>
          <w:right w:w="28" w:type="dxa"/>
        </w:tblCellMar>
      </w:tblPr>
      <w:tblGrid>
        <w:gridCol w:w="556"/>
        <w:gridCol w:w="1216"/>
        <w:gridCol w:w="451"/>
        <w:gridCol w:w="268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Pediatrix Medical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Kasandra H. Rossi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Kasandra H. Rossi</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530</Words>
  <Characters>2912</Characters>
  <CharactersWithSpaces>3447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