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McEachin Thomas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1301 CONCORD TERRACE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SUNRISE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33323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Pediatrix Medical Group,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24"/>
        <w:gridCol w:w="914"/>
        <w:gridCol w:w="782"/>
        <w:gridCol w:w="607"/>
        <w:gridCol w:w="350"/>
        <w:gridCol w:w="802"/>
        <w:gridCol w:w="452"/>
        <w:gridCol w:w="671"/>
        <w:gridCol w:w="1164"/>
        <w:gridCol w:w="1000"/>
        <w:gridCol w:w="1139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2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1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8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25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113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2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1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8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3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2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08/12/2026</w:t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472</w:t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26.5</w:t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7,668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2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1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8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1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66,073</w:t>
            </w:r>
          </w:p>
        </w:tc>
        <w:tc>
          <w:tcPr>
            <w:tcW w:w="10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I</w:t>
            </w:r>
          </w:p>
        </w:tc>
        <w:tc>
          <w:tcPr>
            <w:tcW w:w="113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Thomas A. McEachin Living Trust dated April 17, 2025.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shares granted pursuant to Issuer's Second Amended and Restated 2008 Incentive Compensation Plan, reflecting an increase to the annual equity award. Shares will vest on May 7, 2027.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reporting person and his spouse are trustees and beneficiaries of the trust that holds the reported securities.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David Haddock,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08/14/2026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659781" TargetMode="External"/><Relationship Id="rId5" Type="http://schemas.openxmlformats.org/officeDocument/2006/relationships/hyperlink" Target="http://www.sec.gov/cgi-bin/browse-edgar?action=getcompany&amp;CIK=000089394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621</Words>
  <Characters>3385</Characters>
  <CharactersWithSpaces>3935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